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2A" w:rsidRDefault="00CF142A" w:rsidP="00CF14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CF142A" w:rsidRDefault="00CF142A" w:rsidP="00CF14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CF142A" w:rsidRDefault="00CF142A" w:rsidP="00CF14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«Ара-Иля» </w:t>
      </w:r>
    </w:p>
    <w:p w:rsidR="00CF142A" w:rsidRDefault="00CF142A" w:rsidP="00CF14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«Дульдургинский район» </w:t>
      </w:r>
    </w:p>
    <w:p w:rsidR="00CF142A" w:rsidRDefault="00CF142A" w:rsidP="00CF14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</w:p>
    <w:p w:rsidR="00CF142A" w:rsidRDefault="00CF142A" w:rsidP="00CF14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142A" w:rsidRDefault="00CF142A" w:rsidP="00CF14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142A" w:rsidRDefault="00CF142A" w:rsidP="00CF14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CF142A" w:rsidRPr="00CF142A" w:rsidRDefault="00CF142A" w:rsidP="00CF14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__ ________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  __</w:t>
      </w:r>
    </w:p>
    <w:p w:rsidR="00CF142A" w:rsidRDefault="00CF142A" w:rsidP="00CF14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CF142A" w:rsidRDefault="00CF142A" w:rsidP="00CF14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с.Ара-Иля</w:t>
      </w:r>
    </w:p>
    <w:p w:rsidR="00CF142A" w:rsidRDefault="00CF142A" w:rsidP="00CF1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42A" w:rsidRDefault="00CF142A" w:rsidP="00CF14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решения о согласовании архитектурно-градостроительного облика объекта</w:t>
      </w:r>
      <w:r>
        <w:rPr>
          <w:b/>
          <w:bCs/>
          <w:color w:val="000000"/>
          <w:sz w:val="28"/>
          <w:szCs w:val="28"/>
        </w:rPr>
        <w:t>»</w:t>
      </w:r>
    </w:p>
    <w:p w:rsidR="00CF142A" w:rsidRDefault="00CF142A" w:rsidP="00CF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 на территории сельского поселения «Ара-Иля»</w:t>
      </w:r>
    </w:p>
    <w:p w:rsidR="00CF142A" w:rsidRDefault="00CF142A" w:rsidP="00CF14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</w:t>
      </w:r>
      <w:proofErr w:type="gramEnd"/>
      <w:r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b/>
          <w:sz w:val="28"/>
          <w:szCs w:val="28"/>
        </w:rPr>
        <w:t>постановляет:</w:t>
      </w:r>
    </w:p>
    <w:p w:rsidR="00CF142A" w:rsidRDefault="00CF142A" w:rsidP="00CF14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142A" w:rsidRDefault="00CF142A" w:rsidP="00CF14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сельского поселения «Ара-Иля», официальном сайте муниципального района «Дульдургинский район»</w:t>
      </w:r>
    </w:p>
    <w:p w:rsidR="00CF142A" w:rsidRDefault="00CF142A" w:rsidP="00CF1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обнародования.</w:t>
      </w:r>
    </w:p>
    <w:p w:rsidR="00CF142A" w:rsidRDefault="00CF142A" w:rsidP="00CF14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42A" w:rsidRDefault="00CF142A" w:rsidP="00CF14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42A" w:rsidRDefault="00CF142A" w:rsidP="00CF142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                                                    Н.А.Глотов</w:t>
      </w:r>
    </w:p>
    <w:p w:rsidR="00CF142A" w:rsidRDefault="00CF142A" w:rsidP="00CF14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142A" w:rsidRDefault="00CF142A" w:rsidP="00CF14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142A" w:rsidRDefault="00CF142A" w:rsidP="00CF14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142A" w:rsidRDefault="00CF142A" w:rsidP="00CF14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42A" w:rsidRDefault="00CF142A" w:rsidP="00CF14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42A" w:rsidRDefault="00CF142A" w:rsidP="00CF14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42A" w:rsidRDefault="00CF142A" w:rsidP="00CF14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42A" w:rsidRDefault="00CF142A" w:rsidP="00CF14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42A" w:rsidRDefault="00CF142A" w:rsidP="00CF14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42A" w:rsidRDefault="00CF142A" w:rsidP="00CF14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42A" w:rsidRDefault="00CF142A" w:rsidP="00CF14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Приложение</w:t>
      </w:r>
    </w:p>
    <w:p w:rsidR="00CF142A" w:rsidRDefault="00CF142A" w:rsidP="00CF14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к постановлению   Главы </w:t>
      </w:r>
    </w:p>
    <w:p w:rsidR="00CF142A" w:rsidRDefault="00CF142A" w:rsidP="00CF14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 «Ара-</w:t>
      </w:r>
    </w:p>
    <w:p w:rsidR="00CF142A" w:rsidRDefault="00CF142A" w:rsidP="00CF14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proofErr w:type="spellStart"/>
      <w:r>
        <w:rPr>
          <w:sz w:val="26"/>
          <w:szCs w:val="26"/>
        </w:rPr>
        <w:t>Иля</w:t>
      </w:r>
      <w:proofErr w:type="spellEnd"/>
      <w:r>
        <w:rPr>
          <w:sz w:val="26"/>
          <w:szCs w:val="26"/>
        </w:rPr>
        <w:t>»</w:t>
      </w:r>
    </w:p>
    <w:p w:rsidR="00CF142A" w:rsidRDefault="00CF142A" w:rsidP="00CF14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№  __ __________________</w:t>
      </w:r>
    </w:p>
    <w:p w:rsidR="00CF142A" w:rsidRDefault="00CF142A" w:rsidP="00CF142A">
      <w:pPr>
        <w:ind w:right="-1"/>
        <w:jc w:val="center"/>
        <w:rPr>
          <w:b/>
          <w:color w:val="000000"/>
          <w:sz w:val="28"/>
          <w:szCs w:val="28"/>
        </w:rPr>
      </w:pPr>
    </w:p>
    <w:p w:rsidR="00CF142A" w:rsidRDefault="00CF142A" w:rsidP="00CF142A">
      <w:pPr>
        <w:ind w:right="-1"/>
        <w:jc w:val="center"/>
        <w:rPr>
          <w:b/>
          <w:color w:val="000000"/>
          <w:sz w:val="28"/>
          <w:szCs w:val="28"/>
        </w:rPr>
      </w:pPr>
    </w:p>
    <w:p w:rsidR="00CF142A" w:rsidRDefault="00CF142A" w:rsidP="00CF142A">
      <w:pPr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CF142A" w:rsidRDefault="00CF142A" w:rsidP="00CF142A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CF142A" w:rsidRDefault="00CF142A" w:rsidP="00CF142A">
      <w:pPr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b/>
          <w:bCs/>
          <w:color w:val="000000"/>
          <w:sz w:val="28"/>
          <w:szCs w:val="28"/>
        </w:rPr>
        <w:t>»</w:t>
      </w:r>
    </w:p>
    <w:p w:rsidR="00CF142A" w:rsidRDefault="00CF142A" w:rsidP="00CF142A">
      <w:pPr>
        <w:ind w:right="-1"/>
        <w:jc w:val="center"/>
        <w:rPr>
          <w:color w:val="000000"/>
          <w:sz w:val="28"/>
          <w:szCs w:val="28"/>
        </w:rPr>
      </w:pPr>
    </w:p>
    <w:p w:rsidR="00CF142A" w:rsidRDefault="00CF142A" w:rsidP="00CF142A">
      <w:pPr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 Общие положения</w:t>
      </w:r>
    </w:p>
    <w:p w:rsidR="00CF142A" w:rsidRDefault="00CF142A" w:rsidP="00CF142A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F142A" w:rsidRDefault="00CF142A" w:rsidP="00CF142A">
      <w:pPr>
        <w:pStyle w:val="a7"/>
        <w:ind w:left="0"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CF142A" w:rsidRDefault="00CF142A" w:rsidP="00CF142A">
      <w:pPr>
        <w:pStyle w:val="a7"/>
        <w:ind w:left="0"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CF142A" w:rsidRDefault="00CF142A" w:rsidP="00CF1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администрацию сельского </w:t>
      </w:r>
      <w:r>
        <w:rPr>
          <w:sz w:val="28"/>
          <w:szCs w:val="28"/>
        </w:rPr>
        <w:lastRenderedPageBreak/>
        <w:t>поселения «Ара-Иля»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CF142A" w:rsidRDefault="00CF142A" w:rsidP="00CF1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>
        <w:rPr>
          <w:sz w:val="28"/>
          <w:szCs w:val="28"/>
        </w:rPr>
        <w:t>застройки здания</w:t>
      </w:r>
      <w:proofErr w:type="gramEnd"/>
      <w:r>
        <w:rPr>
          <w:sz w:val="28"/>
          <w:szCs w:val="28"/>
        </w:rPr>
        <w:t xml:space="preserve"> (сооружения).</w:t>
      </w:r>
    </w:p>
    <w:p w:rsidR="00CF142A" w:rsidRDefault="00CF142A" w:rsidP="00CF142A">
      <w:pPr>
        <w:pStyle w:val="a7"/>
        <w:numPr>
          <w:ilvl w:val="1"/>
          <w:numId w:val="1"/>
        </w:numPr>
        <w:tabs>
          <w:tab w:val="num" w:pos="1260"/>
        </w:tabs>
        <w:ind w:left="0"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информирования </w:t>
      </w:r>
      <w:r>
        <w:rPr>
          <w:sz w:val="28"/>
          <w:szCs w:val="28"/>
        </w:rPr>
        <w:t>о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CF142A" w:rsidRDefault="00CF142A" w:rsidP="00CF142A">
      <w:pPr>
        <w:pStyle w:val="a7"/>
        <w:ind w:left="708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Местонахождение администрации сельского поселения «Ара-Иля», предоставляющей муниципальную услугу:</w:t>
      </w:r>
    </w:p>
    <w:p w:rsidR="00CF142A" w:rsidRDefault="00CF142A" w:rsidP="00CF14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687200, Забайкальский край, Дульдургинский район с. Ара-Иля 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1</w:t>
      </w:r>
    </w:p>
    <w:p w:rsidR="00CF142A" w:rsidRDefault="00CF142A" w:rsidP="00CF14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График приема заявлений:</w:t>
      </w:r>
    </w:p>
    <w:p w:rsidR="00CF142A" w:rsidRDefault="00CF142A" w:rsidP="00CF14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понедельник – пятница: с 8-00 до 12-00  с 13-00 до 16-00;</w:t>
      </w:r>
    </w:p>
    <w:p w:rsidR="00CF142A" w:rsidRDefault="00CF142A" w:rsidP="00CF14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12.00 – 13.00 часов;</w:t>
      </w:r>
    </w:p>
    <w:p w:rsidR="00CF142A" w:rsidRDefault="00CF142A" w:rsidP="00CF14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выходные дни – суббота, воскресенье.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Телефон: </w:t>
      </w:r>
      <w:r>
        <w:rPr>
          <w:sz w:val="28"/>
          <w:szCs w:val="28"/>
        </w:rPr>
        <w:t>8(30-256) 21900;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Адрес электронной почты:</w:t>
      </w:r>
      <w:hyperlink r:id="rId5" w:history="1">
        <w:r>
          <w:rPr>
            <w:rStyle w:val="a3"/>
            <w:bCs/>
            <w:sz w:val="28"/>
            <w:szCs w:val="28"/>
            <w:lang w:val="en-US"/>
          </w:rPr>
          <w:t>sparailya</w:t>
        </w:r>
        <w:r>
          <w:rPr>
            <w:rStyle w:val="a3"/>
            <w:bCs/>
            <w:sz w:val="28"/>
            <w:szCs w:val="28"/>
          </w:rPr>
          <w:t>@</w:t>
        </w:r>
        <w:r>
          <w:rPr>
            <w:rStyle w:val="a3"/>
            <w:bCs/>
            <w:sz w:val="28"/>
            <w:szCs w:val="28"/>
            <w:lang w:val="en-US"/>
          </w:rPr>
          <w:t>mail</w:t>
        </w:r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</w:rPr>
          <w:t>ru</w:t>
        </w:r>
        <w:proofErr w:type="spellEnd"/>
      </w:hyperlink>
    </w:p>
    <w:p w:rsidR="00CF142A" w:rsidRDefault="00CF142A" w:rsidP="00CF14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о порядке предоставления муниципальной услуги представляется: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специалистом  администрации при личном обращении;</w:t>
      </w:r>
    </w:p>
    <w:p w:rsidR="00CF142A" w:rsidRDefault="00CF142A" w:rsidP="00CF14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с использованием средств почтовой, телефонной связи и электронной почты;</w:t>
      </w:r>
    </w:p>
    <w:p w:rsidR="00CF142A" w:rsidRDefault="00CF142A" w:rsidP="00CF142A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посредством размещения в информационно-телекоммуникационной сети Интернет на официальном сайте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</w:p>
    <w:p w:rsidR="00CF142A" w:rsidRDefault="00CF142A" w:rsidP="00CF142A">
      <w:pPr>
        <w:ind w:firstLine="540"/>
        <w:jc w:val="both"/>
        <w:rPr>
          <w:sz w:val="28"/>
          <w:szCs w:val="28"/>
        </w:rPr>
      </w:pP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Администрация сельского поселения «Ара-Иля»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Настоящий Административный регламент подлежит размещению на официальном сайте администрации сельского поселения «________».</w:t>
      </w:r>
    </w:p>
    <w:p w:rsidR="00CF142A" w:rsidRDefault="00CF142A" w:rsidP="00CF142A">
      <w:pPr>
        <w:ind w:right="-1" w:firstLine="709"/>
        <w:jc w:val="center"/>
        <w:rPr>
          <w:color w:val="000000"/>
          <w:sz w:val="28"/>
          <w:szCs w:val="28"/>
        </w:rPr>
      </w:pPr>
    </w:p>
    <w:p w:rsidR="00CF142A" w:rsidRDefault="00CF142A" w:rsidP="00CF142A">
      <w:pPr>
        <w:ind w:right="-1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CF142A" w:rsidRDefault="00CF142A" w:rsidP="00CF142A">
      <w:pPr>
        <w:ind w:right="-1" w:firstLine="709"/>
        <w:jc w:val="center"/>
        <w:rPr>
          <w:sz w:val="28"/>
          <w:szCs w:val="28"/>
        </w:rPr>
      </w:pPr>
    </w:p>
    <w:p w:rsidR="00CF142A" w:rsidRDefault="00CF142A" w:rsidP="00CF142A">
      <w:pPr>
        <w:pStyle w:val="a7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>».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муниципальную услугу: администрация сельского поселения «Ара-Иля»  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услуги: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решения о согласовании архитектурно-градостроительного облика объекта;</w:t>
      </w:r>
    </w:p>
    <w:p w:rsidR="00CF142A" w:rsidRDefault="00CF142A" w:rsidP="00CF142A">
      <w:pPr>
        <w:pStyle w:val="a7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выдача мотивированного отказа в предоставлении муниципальной услуги.</w:t>
      </w:r>
    </w:p>
    <w:p w:rsidR="00CF142A" w:rsidRDefault="00CF142A" w:rsidP="00CF142A">
      <w:pPr>
        <w:pStyle w:val="a7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исполнения муниципальной услуги:</w:t>
      </w:r>
    </w:p>
    <w:p w:rsidR="00CF142A" w:rsidRDefault="00CF142A" w:rsidP="00CF142A">
      <w:pPr>
        <w:pStyle w:val="a7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- в течение 30 календарных дней со дня получения заявления с документами, указанного в п.п. 1 п. 3.4. настоящего Административного регламента.</w:t>
      </w:r>
    </w:p>
    <w:p w:rsidR="00CF142A" w:rsidRDefault="00CF142A" w:rsidP="00CF142A">
      <w:pPr>
        <w:pStyle w:val="a7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CF142A" w:rsidRDefault="00CF142A" w:rsidP="00CF142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hyperlink r:id="rId6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Конституци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Российской Федерации (часть первая) от 30.11.1994        № 51-ФЗ (первоначальный текст документа опубликован в изданиях «Собрание законодательства Российской Федерации» № 32 от 05.12.1994, «Российская газета»   № 238 - 239 от 08.12.1994);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Градостроительный кодекс Российской Федерации от 29.12.2004 № 190-ФЗ (первоначальный текст документа опубликован в изданиях </w:t>
      </w:r>
      <w:r>
        <w:rPr>
          <w:sz w:val="28"/>
          <w:szCs w:val="28"/>
        </w:rPr>
        <w:lastRenderedPageBreak/>
        <w:t>«Российская газета»,     № 290, 30.12.2004, «Парламентская газета», № 5 - 6, 14.01.2005);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РФ от 29.12.2004 № 191-ФЗ «О введении в действие Градостроительного кодекса Российской Федерации» (первоначальный текст документа опубликован в издании «Собрание законодательства Российской Федерации», 2005, № 1, ст. 17);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 (первоначальный текст документа опубликован в издании «Собрание законодательства Российской Федерации» № 31, 2010, ст. 4179);</w:t>
      </w:r>
    </w:p>
    <w:p w:rsidR="00CF142A" w:rsidRDefault="00CF142A" w:rsidP="00CF142A">
      <w:pPr>
        <w:pStyle w:val="ConsPlusNonformat"/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06.04.2011 № 63-ФЗ «Об электронной подписи» (первоначальный текст документа опубликован в издании «Собрание законодательства Российской Федерации» № 15, 2011, ст. 2036);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Федеральный закон  РФ от 06.10.2003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 № 40, 06.10.2003, «Парламентская газета» № 186, 08.10.2003, «Российская газета» № 202, 08.10.2003);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 (первоначальный текст документа опубликован в изданиях «Парламентская газета», № 120-121, 29.06.2002, «Российская газета», № 116-117, 29.06.2002, «Собрание законодательства РФ», № 26, 01.07.2002);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«_______»  от 22.10.2013 № 106  «Об утверждении Правил благоустройства территории сельского поселения «Дульдурга».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CF142A" w:rsidRDefault="00CF142A" w:rsidP="00CF142A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Копии документов предоставляются с подлинными экземплярами документов. Специалист администрации сельского поселения «_______», осуществляющий приём документов, сверяет подлинный экземпляр с копией.</w:t>
      </w:r>
    </w:p>
    <w:p w:rsidR="00CF142A" w:rsidRDefault="00CF142A" w:rsidP="00CF142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  <w:proofErr w:type="gramEnd"/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Документы, представляемые заявителем, должны соответствовать требованиям, установленным действующим законодательством к таким </w:t>
      </w:r>
      <w:r>
        <w:rPr>
          <w:sz w:val="28"/>
          <w:szCs w:val="28"/>
        </w:rPr>
        <w:lastRenderedPageBreak/>
        <w:t>документам. Документы, составляемые заявителем, должны соответствовать следующим требованиям: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разборчивое написание текста документа шариковой,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>, перьевой, чернильной ручкой или при помощи средств электронно-вычислительной техники;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требований к оформлению документов, предусмотренных пунктом 2.11. настоящего Административного регламента.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  <w:proofErr w:type="gramEnd"/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>
        <w:rPr>
          <w:sz w:val="28"/>
          <w:szCs w:val="28"/>
        </w:rPr>
        <w:t>.</w:t>
      </w:r>
    </w:p>
    <w:p w:rsidR="00CF142A" w:rsidRDefault="00CF142A" w:rsidP="00CF142A">
      <w:pPr>
        <w:pStyle w:val="a7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CF142A" w:rsidRDefault="00CF142A" w:rsidP="00CF142A">
      <w:pPr>
        <w:pStyle w:val="a7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CF142A" w:rsidRDefault="00CF142A" w:rsidP="00CF142A">
      <w:pPr>
        <w:pStyle w:val="a7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F142A" w:rsidRDefault="00CF142A" w:rsidP="00CF142A">
      <w:pPr>
        <w:pStyle w:val="a7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CF142A" w:rsidRDefault="00CF142A" w:rsidP="00CF142A">
      <w:pPr>
        <w:pStyle w:val="a7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требования к местам приема заявителей: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требования к местам для ожидания: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стульями и (или) кресельными секциями;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CF142A" w:rsidRDefault="00CF142A" w:rsidP="00CF142A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CF142A" w:rsidRDefault="00CF142A" w:rsidP="00CF142A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CF142A" w:rsidRDefault="00CF142A" w:rsidP="00CF142A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CF142A" w:rsidRDefault="00CF142A" w:rsidP="00CF142A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CF142A" w:rsidRDefault="00CF142A" w:rsidP="00CF142A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адресов электронной почты и официального сайта администрации </w:t>
      </w:r>
      <w:r>
        <w:rPr>
          <w:sz w:val="28"/>
          <w:szCs w:val="28"/>
        </w:rPr>
        <w:t>сельского поселения «Ара-Иля»</w:t>
      </w:r>
      <w:r>
        <w:rPr>
          <w:color w:val="000000"/>
          <w:sz w:val="28"/>
          <w:szCs w:val="28"/>
        </w:rPr>
        <w:t>;</w:t>
      </w:r>
    </w:p>
    <w:p w:rsidR="00CF142A" w:rsidRDefault="00CF142A" w:rsidP="00CF142A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CF142A" w:rsidRDefault="00CF142A" w:rsidP="00CF142A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образца заполнения бланка письменного запроса (заявления);</w:t>
      </w:r>
    </w:p>
    <w:p w:rsidR="00CF142A" w:rsidRDefault="00CF142A" w:rsidP="00CF142A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CF142A" w:rsidRDefault="00CF142A" w:rsidP="00CF142A">
      <w:pPr>
        <w:pStyle w:val="a7"/>
        <w:ind w:left="0"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 Показатели оценки доступности муниципальной услуги: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</w:t>
      </w:r>
      <w:r>
        <w:rPr>
          <w:sz w:val="28"/>
          <w:szCs w:val="28"/>
        </w:rPr>
        <w:lastRenderedPageBreak/>
        <w:t>принятое по  заявлению решение или на действия (бездействие) сотрудников администрации сельского поселения «Ара-Иля»;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размещение информации о порядке предоставления муниципальной услуги на официальном сайте </w:t>
      </w:r>
      <w:bookmarkStart w:id="0" w:name="_GoBack"/>
      <w:bookmarkEnd w:id="0"/>
      <w:r>
        <w:rPr>
          <w:sz w:val="28"/>
          <w:szCs w:val="28"/>
        </w:rPr>
        <w:t>муниципального района «Дульдургинский район» в сети Интернет.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соблюдение срока предоставления муниципальной услуги;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CF142A" w:rsidRDefault="00CF142A" w:rsidP="00CF142A">
      <w:pPr>
        <w:ind w:right="-1" w:firstLine="720"/>
        <w:jc w:val="center"/>
        <w:rPr>
          <w:sz w:val="28"/>
          <w:szCs w:val="28"/>
        </w:rPr>
      </w:pPr>
    </w:p>
    <w:p w:rsidR="00CF142A" w:rsidRDefault="00CF142A" w:rsidP="00CF142A">
      <w:pPr>
        <w:ind w:right="-1" w:firstLine="720"/>
        <w:jc w:val="center"/>
        <w:rPr>
          <w:sz w:val="28"/>
          <w:szCs w:val="28"/>
        </w:rPr>
      </w:pPr>
    </w:p>
    <w:p w:rsidR="00CF142A" w:rsidRDefault="00CF142A" w:rsidP="00CF142A">
      <w:pPr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с прилагаемыми документами;</w:t>
      </w:r>
    </w:p>
    <w:p w:rsidR="00CF142A" w:rsidRDefault="00CF142A" w:rsidP="00CF142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CF142A" w:rsidRDefault="00CF142A" w:rsidP="00CF142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рассмотрение поступившего заявления;</w:t>
      </w:r>
    </w:p>
    <w:p w:rsidR="00CF142A" w:rsidRDefault="00CF142A" w:rsidP="00CF142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объекта;</w:t>
      </w:r>
    </w:p>
    <w:p w:rsidR="00CF142A" w:rsidRDefault="00CF142A" w:rsidP="00CF142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5)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с прилагаемыми документами: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в администрацию сельского поселения «Ара-Иля» заявления о предоставлении муниципальной услуги с приложением пакета документов;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специалист, ответственный за прием документов, осуществляет первичное рассмотрение представленных документов;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в случае, если представлен неполный комплект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 документы, исправить недочеты. При согласии заявителя документы возвращаются ему для устранения недостатков;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если представлен полный пакет документов,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 регистрирует заявление;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документов. Максимальный срок выполнения данного действия составляет 1 рабочий день;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которые заявитель вправе представить: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</w:t>
      </w:r>
      <w:r>
        <w:rPr>
          <w:sz w:val="28"/>
          <w:szCs w:val="28"/>
        </w:rPr>
        <w:lastRenderedPageBreak/>
        <w:t>организаций и могут быть получены посредством межведомственного взаимодействия;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 администрации сельского поселения «________»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1 рабочий день;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результатом административной процедуры является получение из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критерием принятия решения является наличие документов (информации), полученных посредством межведомственного взаимодействия, на основании которых специалист администрации сельского поселения «Ара-Иля» формирует итоговый пакет документов. Максимальный срок выполнения данного действия составляет 1 рабочий день;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 Рассмотрение поступившего заявления: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 с необходимыми документами; 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при поступлении заявления о предоставлении муниципальной услуги с необходимыми документами ответственный исполнитель осуществляет их рассмотрение. Максимальный срок выполнения данного действия составляет 12 рабочих дней;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 случае, если представлен неполный комплект документов, указанных в пунктах 2.7, 2.8 Административного регламента, ответственный исполнитель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>
        <w:rPr>
          <w:sz w:val="28"/>
          <w:szCs w:val="28"/>
        </w:rPr>
        <w:lastRenderedPageBreak/>
        <w:t>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при наличии оснований для отказа в предоставлении муниципальной услуги ответственный исполнитель обеспечивает подготовку, согласование и направление в адрес заявителя соответствующего письма;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5) если представлен комплект необходимых документов, архитектурно-градостроительный облик объекта соответствует требованиям, установленным к содержанию и внешнему виду зданий, сооружений, объектов благоустройства,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регламентом;</w:t>
      </w:r>
      <w:proofErr w:type="gramEnd"/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объекта: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главе администрации сельского поселения «Ара-Иля» архитектурно-градостроительного облика объекта либо уведомления об отказе в предоставлении муниципальной услуги;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глава администрации сельского поселения «Дульдурга» принимает решение о согласовании или об отказе в согласовании архитектурно-</w:t>
      </w:r>
      <w:r>
        <w:rPr>
          <w:sz w:val="28"/>
          <w:szCs w:val="28"/>
        </w:rPr>
        <w:lastRenderedPageBreak/>
        <w:t>градостроительного облика объекта. Критерием принятия решения является наличие документов (информации), предусмотренных пунктом 2.7. настоящего Административного регламента. Максимальный срок выполнения данного действия составляет 2 рабочих дня;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способом фиксации результата административной процедуры является подпись главы администрации сельского поселения «______» на архитектурно-градостроительном облике объекта или письменном сообщении об отказе в согласовании архитектурно-градостроительного облика объекта;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согласованный архитектурно-градостроительный облик объекта либо подписанное главой администрации  уведомление об отказе в предоставлении муниципальной услуги передается специалисту сельского поселения «Ара-Иля» Максимальный срок выполнения данного действия составляет 1 рабочий день. </w:t>
      </w:r>
    </w:p>
    <w:p w:rsidR="00CF142A" w:rsidRDefault="00CF142A" w:rsidP="00CF142A">
      <w:pPr>
        <w:pStyle w:val="a7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3.6.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услуги: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регистрация в администрации сельского поселения «Ара-Иля» согласованного архитектурно-градостроительного облика объекта либо уведомления об отказе в предоставлении муниципальной услуги;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ответственный исполнитель администрации сельского поселения «Ара-Иля» осуществляет выдачу заявителям документов, являющихся результатом предоставления муниципальной услуги.</w:t>
      </w:r>
    </w:p>
    <w:p w:rsidR="00CF142A" w:rsidRDefault="00CF142A" w:rsidP="00CF142A">
      <w:pPr>
        <w:ind w:right="-1" w:firstLine="709"/>
        <w:jc w:val="both"/>
        <w:rPr>
          <w:color w:val="000000"/>
          <w:sz w:val="28"/>
          <w:szCs w:val="28"/>
        </w:rPr>
      </w:pPr>
    </w:p>
    <w:p w:rsidR="00CF142A" w:rsidRDefault="00CF142A" w:rsidP="00CF142A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CF142A" w:rsidRDefault="00CF142A" w:rsidP="00CF142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 сельского поселения «Ара-Иля». 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осуществляется посредством ежемесячного анализа принятых запросов на предоставление муниципальной услуги, жалоб </w:t>
      </w:r>
      <w:r>
        <w:rPr>
          <w:sz w:val="28"/>
          <w:szCs w:val="28"/>
        </w:rPr>
        <w:lastRenderedPageBreak/>
        <w:t>и предложений по соблюдения и исполнению положений настоящего Административного регламента, поступивших от заявителей.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проверок;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об устранении выявленных нарушений.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Проверки могут быть плановыми на основании планов работы администрации сельского поселения «Ара-Иля», либо внеплановыми, </w:t>
      </w:r>
      <w:proofErr w:type="gramStart"/>
      <w:r>
        <w:rPr>
          <w:sz w:val="28"/>
          <w:szCs w:val="28"/>
        </w:rPr>
        <w:t>проводимыми</w:t>
      </w:r>
      <w:proofErr w:type="gramEnd"/>
      <w:r>
        <w:rPr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Решение о проведении внеплановой проверки принимает глава сельского поселения «Ара-Иля» или уполномоченное им должностное лицо.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сельского поселения «Ара-Иля».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сельского поселения «Ара-Иля».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CF142A" w:rsidRDefault="00CF142A" w:rsidP="00CF142A">
      <w:pPr>
        <w:ind w:right="-1"/>
        <w:rPr>
          <w:sz w:val="28"/>
          <w:szCs w:val="28"/>
        </w:rPr>
      </w:pPr>
    </w:p>
    <w:p w:rsidR="00CF142A" w:rsidRDefault="00CF142A" w:rsidP="00CF142A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CF142A" w:rsidRDefault="00CF142A" w:rsidP="00CF142A">
      <w:pPr>
        <w:ind w:right="-1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в досудебном порядке решений,</w:t>
      </w:r>
    </w:p>
    <w:p w:rsidR="00CF142A" w:rsidRDefault="00CF142A" w:rsidP="00CF142A">
      <w:pPr>
        <w:pStyle w:val="a7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действий (бездействия), осуществляемых (принятых) в ходе предоставления муниципальной услуги. 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Забайкальского края, муниципальными правовыми актами;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F142A" w:rsidRDefault="00CF142A" w:rsidP="00CF142A">
      <w:pPr>
        <w:pStyle w:val="a7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CF142A" w:rsidRDefault="00CF142A" w:rsidP="00CF142A">
      <w:pPr>
        <w:pStyle w:val="a7"/>
        <w:ind w:left="0" w:right="-1"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</w:t>
      </w:r>
      <w:r>
        <w:rPr>
          <w:sz w:val="28"/>
          <w:szCs w:val="28"/>
        </w:rPr>
        <w:lastRenderedPageBreak/>
        <w:t>муниципальной услуги, на официальном сайте администрации сельского поселения «Ара-Иля», а также осуществляется в устной и (или) письменной форме.</w:t>
      </w:r>
      <w:proofErr w:type="gramEnd"/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электронной форме в администрацию сельского поселения «Ара-Иля». 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Должностным лицом, наделенным полномочиями по рассмотрению жалоб на нарушение порядка предоставления муниципальной услуги, является глава сельского поселения «Ара-Иля», заместитель главы администрации сельского поселения «Ара-Иля».</w:t>
      </w:r>
    </w:p>
    <w:p w:rsidR="00CF142A" w:rsidRDefault="00CF142A" w:rsidP="00CF142A">
      <w:pPr>
        <w:pStyle w:val="a7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142A" w:rsidRDefault="00CF142A" w:rsidP="00CF142A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CF142A" w:rsidRDefault="00CF142A" w:rsidP="00CF142A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CF142A" w:rsidRDefault="00CF142A" w:rsidP="00CF142A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CF142A" w:rsidRDefault="00CF142A" w:rsidP="00CF142A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CF142A" w:rsidRDefault="00CF142A" w:rsidP="00CF142A">
      <w:pPr>
        <w:pStyle w:val="a7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Жалоба, поступившая в администрацию сельского поселения «Дульдурга»  подлежит рассмотрению главой сельского поселения «Дульдурга», заместителем главы администрации сельского поселения «Дульдурга» в течение пятнадцати рабочих дней со дня ее регистрации. 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 По результатам рассмотрения жалобы глава сельского поселения «Дульдурга» принимает одно из следующих решений: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F142A" w:rsidRDefault="00CF142A" w:rsidP="00CF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142A" w:rsidRDefault="00CF142A" w:rsidP="00CF142A">
      <w:pPr>
        <w:pStyle w:val="a7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глава сельского поселения «Ара-Иля» незамедлительно направляет имеющиеся материалы в органы прокуратуры.</w:t>
      </w:r>
    </w:p>
    <w:p w:rsidR="00CF142A" w:rsidRDefault="00CF142A" w:rsidP="00CF142A">
      <w:pPr>
        <w:pStyle w:val="a7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CF142A" w:rsidRDefault="00CF142A" w:rsidP="00CF142A">
      <w:pPr>
        <w:pStyle w:val="a7"/>
        <w:ind w:left="0" w:right="-1"/>
        <w:jc w:val="both"/>
        <w:rPr>
          <w:sz w:val="28"/>
          <w:szCs w:val="28"/>
        </w:rPr>
      </w:pPr>
    </w:p>
    <w:p w:rsidR="00000000" w:rsidRDefault="00CF14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142A"/>
    <w:rsid w:val="00CF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142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Стиль Основной текст Знак,Знак Знак,Знак1 + Первая строка:  127 см Знак"/>
    <w:basedOn w:val="a0"/>
    <w:link w:val="a5"/>
    <w:semiHidden/>
    <w:locked/>
    <w:rsid w:val="00CF142A"/>
    <w:rPr>
      <w:sz w:val="24"/>
      <w:szCs w:val="24"/>
    </w:rPr>
  </w:style>
  <w:style w:type="paragraph" w:styleId="a5">
    <w:name w:val="Body Text"/>
    <w:aliases w:val="Стиль Основной текст,Знак,Знак1 + Первая строка:  127 см"/>
    <w:basedOn w:val="a"/>
    <w:link w:val="a4"/>
    <w:semiHidden/>
    <w:unhideWhenUsed/>
    <w:rsid w:val="00CF142A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CF142A"/>
  </w:style>
  <w:style w:type="paragraph" w:styleId="a6">
    <w:name w:val="No Spacing"/>
    <w:uiPriority w:val="99"/>
    <w:qFormat/>
    <w:rsid w:val="00CF142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List Paragraph"/>
    <w:basedOn w:val="a"/>
    <w:uiPriority w:val="34"/>
    <w:qFormat/>
    <w:rsid w:val="00CF14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F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F1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1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F14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6C71EF7F9F3218348642729X82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A58EE5A04C8B4DE1BB9F7D208141D782C5E10D7316F0CA991489BC44Fs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arailya@mail.ru" TargetMode="External"/><Relationship Id="rId10" Type="http://schemas.openxmlformats.org/officeDocument/2006/relationships/hyperlink" Target="consultantplus://offline/ref=7E80597EB7397CC072253BA0EA731C1EC7B6C618F2F3F3218348642729X82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5C210F0F1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4756</Words>
  <Characters>27114</Characters>
  <Application>Microsoft Office Word</Application>
  <DocSecurity>0</DocSecurity>
  <Lines>225</Lines>
  <Paragraphs>63</Paragraphs>
  <ScaleCrop>false</ScaleCrop>
  <Company/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2019-12-25T23:53:00Z</dcterms:created>
  <dcterms:modified xsi:type="dcterms:W3CDTF">2019-12-25T23:54:00Z</dcterms:modified>
</cp:coreProperties>
</file>